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7D263E3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0364CCB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99E9A" w14:textId="52C1A75C" w:rsidR="00D81B99" w:rsidRPr="00921D41" w:rsidRDefault="00D81B99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E386BDE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D5C9BDF" w14:textId="320A685E" w:rsidR="006554C3" w:rsidRDefault="006554C3" w:rsidP="00833B83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 xml:space="preserve">de contratação de uma empresa especializada para a regularização fundiária </w:t>
            </w:r>
            <w:r w:rsidR="00392803">
              <w:rPr>
                <w:rFonts w:ascii="Times New Roman" w:hAnsi="Times New Roman" w:cs="Times New Roman"/>
                <w:sz w:val="24"/>
                <w:szCs w:val="24"/>
              </w:rPr>
              <w:t xml:space="preserve">dos imóveis 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  <w:r w:rsidR="00392803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 xml:space="preserve"> do município de Porto dos Gaúchos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DE900" w14:textId="620B0F73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3C1CAB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976003" w14:textId="38EE16E2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0F0A3E3" w14:textId="77777777" w:rsidR="006554C3" w:rsidRDefault="006554C3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A4B3F22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BFB87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74DE9C9" w14:textId="3528E183" w:rsidR="006554C3" w:rsidRDefault="00392803" w:rsidP="000604C4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 a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 xml:space="preserve"> necessidade para a regularização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documentação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 xml:space="preserve"> de lotes urbanos do município de Porto dos Gaúchos, tendo em vista que há uma grande parte de imóveis 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escritura no registro de imóveis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>, inclusive bens imóveis públicos</w:t>
            </w:r>
            <w:r w:rsidR="000604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97734A8" w14:textId="77777777" w:rsidR="001E4C80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2BD12C" w14:textId="77777777" w:rsidR="001E4C80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044B0C" w14:textId="77777777" w:rsidR="001E4C80" w:rsidRPr="00921D41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E8E383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149469" w14:textId="1DD67C7B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6125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0604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6125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604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maio</w:t>
            </w:r>
            <w:r w:rsidR="006125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5C935230" w:rsidR="00C1742D" w:rsidRPr="0061259B" w:rsidRDefault="006554C3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12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PIOVESAN</w:t>
            </w:r>
          </w:p>
          <w:p w14:paraId="2DA6C4B3" w14:textId="1AC4EB4F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2AF1AB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BE16FB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253DFA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460E602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649925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19E6039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6B8FBBE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95E10D5" w14:textId="77777777" w:rsidR="00FC1331" w:rsidRDefault="00FC1331" w:rsidP="00D81B99">
      <w:pPr>
        <w:ind w:firstLine="0"/>
      </w:pPr>
    </w:p>
    <w:sectPr w:rsidR="00FC1331" w:rsidSect="003C064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354D" w14:textId="77777777" w:rsidR="00F15C9F" w:rsidRDefault="00F15C9F" w:rsidP="00921D41">
      <w:pPr>
        <w:spacing w:line="240" w:lineRule="auto"/>
      </w:pPr>
      <w:r>
        <w:separator/>
      </w:r>
    </w:p>
  </w:endnote>
  <w:endnote w:type="continuationSeparator" w:id="0">
    <w:p w14:paraId="68AD478D" w14:textId="77777777" w:rsidR="00F15C9F" w:rsidRDefault="00F15C9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7B7" w14:textId="77777777" w:rsidR="00F15C9F" w:rsidRDefault="00F15C9F" w:rsidP="00921D41">
      <w:pPr>
        <w:spacing w:line="240" w:lineRule="auto"/>
      </w:pPr>
      <w:r>
        <w:separator/>
      </w:r>
    </w:p>
  </w:footnote>
  <w:footnote w:type="continuationSeparator" w:id="0">
    <w:p w14:paraId="104BA821" w14:textId="77777777" w:rsidR="00F15C9F" w:rsidRDefault="00F15C9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12D5B0AB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604C4"/>
    <w:rsid w:val="0017595C"/>
    <w:rsid w:val="001E4C80"/>
    <w:rsid w:val="0021404E"/>
    <w:rsid w:val="00262A36"/>
    <w:rsid w:val="002D28B9"/>
    <w:rsid w:val="00392803"/>
    <w:rsid w:val="003A0A35"/>
    <w:rsid w:val="003A3294"/>
    <w:rsid w:val="003C064D"/>
    <w:rsid w:val="003D76EF"/>
    <w:rsid w:val="00416EF8"/>
    <w:rsid w:val="004E460C"/>
    <w:rsid w:val="004F5266"/>
    <w:rsid w:val="00511F7E"/>
    <w:rsid w:val="005240A4"/>
    <w:rsid w:val="005944D9"/>
    <w:rsid w:val="005B0B11"/>
    <w:rsid w:val="005E2781"/>
    <w:rsid w:val="005E68E6"/>
    <w:rsid w:val="0061259B"/>
    <w:rsid w:val="00614D92"/>
    <w:rsid w:val="006554C3"/>
    <w:rsid w:val="006E4AAC"/>
    <w:rsid w:val="00702F4C"/>
    <w:rsid w:val="00793633"/>
    <w:rsid w:val="007B5CA3"/>
    <w:rsid w:val="007D441A"/>
    <w:rsid w:val="00803DB0"/>
    <w:rsid w:val="00833B83"/>
    <w:rsid w:val="008A2CB3"/>
    <w:rsid w:val="008A642F"/>
    <w:rsid w:val="008B6B80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23605"/>
    <w:rsid w:val="00C60B4B"/>
    <w:rsid w:val="00CF27DA"/>
    <w:rsid w:val="00D254F4"/>
    <w:rsid w:val="00D81B99"/>
    <w:rsid w:val="00D82293"/>
    <w:rsid w:val="00DA3F21"/>
    <w:rsid w:val="00DB15CE"/>
    <w:rsid w:val="00DE5C4F"/>
    <w:rsid w:val="00DF055D"/>
    <w:rsid w:val="00E0767D"/>
    <w:rsid w:val="00EC649F"/>
    <w:rsid w:val="00F15C9F"/>
    <w:rsid w:val="00F84EE3"/>
    <w:rsid w:val="00F92879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4</cp:revision>
  <cp:lastPrinted>2021-04-19T13:47:00Z</cp:lastPrinted>
  <dcterms:created xsi:type="dcterms:W3CDTF">2021-03-01T19:10:00Z</dcterms:created>
  <dcterms:modified xsi:type="dcterms:W3CDTF">2021-05-10T18:44:00Z</dcterms:modified>
</cp:coreProperties>
</file>